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98.png" ContentType="image/png"/>
  <Override PartName="/word/media/rId97.png" ContentType="image/png"/>
  <Override PartName="/word/media/rId96.png" ContentType="image/png"/>
  <Override PartName="/word/media/rId95.png" ContentType="image/png"/>
  <Override PartName="/word/media/rId93.png" ContentType="image/png"/>
  <Override PartName="/word/media/rId94.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89.jpg" ContentType="image/jpe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2021-10-14</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interés por el estudio de la cohesión social posee una larga trayectoria tanto académica como así también desde el estado y de organizaciones con interés público. La cohesión social aparece como una aspiración normativa de una sociedad mejor, vinculada a conceptos como lazos sociales de calidad, pertenencia, y confianza en los demás y en el estado. Se asume también que un estado de adecuada cohesión social es producto de condiciones estructurales y políticas que apunten a mayor igualdad, integración y oportunidades, por lo cual muchas veces se refiere a ella como un horizonte o una consecuencia de buenas políticas sociales. Este interés se ha plasmado en una serie de proyectos internacionales y nacionales que estudian la cohesión social. Por el lado internacional son reconocidas iniciativas como Mapping social Cohesion en Canadá</w:t>
      </w:r>
      <w:r>
        <w:t xml:space="preserve"> </w:t>
      </w:r>
      <w:r>
        <w:t xml:space="preserve">(</w:t>
      </w:r>
      <w:hyperlink w:anchor="ref-jenson_mapping_1998">
        <w:r>
          <w:rPr>
            <w:rStyle w:val="Hipervnculo"/>
          </w:rPr>
          <w:t xml:space="preserve">Jenson, 1998</w:t>
        </w:r>
      </w:hyperlink>
      <w:r>
        <w:t xml:space="preserve">)</w:t>
      </w:r>
      <w:r>
        <w:t xml:space="preserve"> </w:t>
      </w:r>
      <w:r>
        <w:t xml:space="preserve">el Scanlon-Monash Cohesion Index en Autralia</w:t>
      </w:r>
      <w:r>
        <w:t xml:space="preserve"> </w:t>
      </w:r>
      <w:r>
        <w:t xml:space="preserve">(</w:t>
      </w:r>
      <w:hyperlink w:anchor="ref-markus_mapping_2014">
        <w:r>
          <w:rPr>
            <w:rStyle w:val="Hipervnculo"/>
          </w:rPr>
          <w:t xml:space="preserve">Markus, 2014</w:t>
        </w:r>
      </w:hyperlink>
      <w:r>
        <w:t xml:space="preserve">)</w:t>
      </w:r>
      <w:r>
        <w:t xml:space="preserve">, el Radar de Cohesión Social en Alemania</w:t>
      </w:r>
      <w:r>
        <w:t xml:space="preserve"> </w:t>
      </w:r>
      <w:r>
        <w:t xml:space="preserve">(</w:t>
      </w:r>
      <w:hyperlink w:anchor="ref-dragolov_social_2013">
        <w:r>
          <w:rPr>
            <w:rStyle w:val="Hipervnculo"/>
          </w:rPr>
          <w:t xml:space="preserve">Dragolov et al., 2013</w:t>
        </w:r>
      </w:hyperlink>
      <w:r>
        <w:t xml:space="preserve">)</w:t>
      </w:r>
      <w:r>
        <w:t xml:space="preserve">, y el proyecto Ecosocial en América Latina</w:t>
      </w:r>
      <w:r>
        <w:t xml:space="preserve"> </w:t>
      </w:r>
      <w:r>
        <w:t xml:space="preserve">Valenzuela et al. (</w:t>
      </w:r>
      <w:hyperlink w:anchor="ref-valenzuela_vinculos_2008">
        <w:r>
          <w:rPr>
            <w:rStyle w:val="Hipervnculo"/>
          </w:rPr>
          <w:t xml:space="preserve">2008</w:t>
        </w:r>
      </w:hyperlink>
      <w:r>
        <w:t xml:space="preserve">)</w:t>
      </w:r>
      <w:r>
        <w:t xml:space="preserve">. En el caso de organizaciones internacionales con foco en América Latina destaca la amplia tradición de la CEPAL en estudios de cohesión social</w:t>
      </w:r>
      <w:r>
        <w:t xml:space="preserve"> </w:t>
      </w:r>
      <w:r>
        <w:t xml:space="preserve">(</w:t>
      </w:r>
      <w:hyperlink w:anchor="ref-cepal_america_2010">
        <w:r>
          <w:rPr>
            <w:rStyle w:val="Hipervnculo"/>
          </w:rPr>
          <w:t xml:space="preserve">CEPAL, 2010a</w:t>
        </w:r>
      </w:hyperlink>
      <w:r>
        <w:t xml:space="preserve">,</w:t>
      </w:r>
      <w:r>
        <w:t xml:space="preserve"> </w:t>
      </w:r>
      <w:hyperlink w:anchor="ref-cepal_cohesion_2010">
        <w:r>
          <w:rPr>
            <w:rStyle w:val="Hipervnculo"/>
          </w:rPr>
          <w:t xml:space="preserve">2010b</w:t>
        </w:r>
      </w:hyperlink>
      <w:r>
        <w:t xml:space="preserve">;</w:t>
      </w:r>
      <w:r>
        <w:t xml:space="preserve"> </w:t>
      </w:r>
      <w:hyperlink w:anchor="ref-cepal_cohesion_2021">
        <w:r>
          <w:rPr>
            <w:rStyle w:val="Hipervnculo"/>
          </w:rPr>
          <w:t xml:space="preserve">CEPAL, 2021</w:t>
        </w:r>
      </w:hyperlink>
      <w:r>
        <w:t xml:space="preserve">;</w:t>
      </w:r>
      <w:r>
        <w:t xml:space="preserve"> </w:t>
      </w:r>
      <w:hyperlink w:anchor="ref-maldonado_inclusion_2020">
        <w:r>
          <w:rPr>
            <w:rStyle w:val="Hipervnculo"/>
          </w:rPr>
          <w:t xml:space="preserve">Maldonado et al., 2020</w:t>
        </w:r>
      </w:hyperlink>
      <w:r>
        <w:t xml:space="preserve">;</w:t>
      </w:r>
      <w:r>
        <w:t xml:space="preserve"> </w:t>
      </w:r>
      <w:hyperlink w:anchor="ref-sojo_cohesion_2007">
        <w:r>
          <w:rPr>
            <w:rStyle w:val="Hipervnculo"/>
          </w:rPr>
          <w:t xml:space="preserve">Sojo et al., 2007</w:t>
        </w:r>
      </w:hyperlink>
      <w:r>
        <w:t xml:space="preserve">;</w:t>
      </w:r>
      <w:r>
        <w:t xml:space="preserve"> </w:t>
      </w:r>
      <w:hyperlink w:anchor="ref-villatoros._sistema_2008">
        <w:r>
          <w:rPr>
            <w:rStyle w:val="Hipervnculo"/>
          </w:rPr>
          <w:t xml:space="preserve">Villatoro S., 2008</w:t>
        </w:r>
      </w:hyperlink>
      <w:r>
        <w:t xml:space="preserve">)</w:t>
      </w:r>
    </w:p>
    <w:p>
      <w:pPr>
        <w:pStyle w:val="Textoindependiente"/>
      </w:pPr>
      <w:r>
        <w:t xml:space="preserve">Muchos de los estudios en cohesión social han tenido como foco su definición y también la búsqueda de indicadores para poder caracterizar distintas sociedades respecto a sus niveles de cohesión social en sus múltiples dimensiones. Parte de este objetivo lo comparte el Centro de Estudios de Conflicto y Cohesión Social (COES), al cual pertenecen las/os autores de este trabajo, y que dados los intereses comunes con CEPAL han venido trabajando hace algunos años en distintas iniciativas, tales como el informe sobre Clases Medias y Cohesión Social recientemente publicado por CEPAL</w:t>
      </w:r>
      <w:r>
        <w:t xml:space="preserve"> </w:t>
      </w:r>
      <w:r>
        <w:t xml:space="preserve">(</w:t>
      </w:r>
      <w:hyperlink w:anchor="ref-barozet_clases_2021">
        <w:r>
          <w:rPr>
            <w:rStyle w:val="Hipervnculo"/>
          </w:rPr>
          <w:t xml:space="preserve">Barozet et al., 2021</w:t>
        </w:r>
      </w:hyperlink>
      <w:r>
        <w:t xml:space="preserve">)</w:t>
      </w:r>
      <w:r>
        <w:t xml:space="preserve">. El presente trabajo se enmarca en esta relación de colaboración, y se enfoca en la definición y medición de indicadores de cohesión social basado en el concepto de cohesión social recientemente actualizado por la CEPAL</w:t>
      </w:r>
      <w:r>
        <w:t xml:space="preserve"> </w:t>
      </w:r>
      <w:r>
        <w:t xml:space="preserve">(</w:t>
      </w:r>
      <w:hyperlink w:anchor="ref-cepal_cohesion_2021">
        <w:r>
          <w:rPr>
            <w:rStyle w:val="Hipervnculo"/>
          </w:rPr>
          <w:t xml:space="preserve">CEPAL, 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generar mediciones e indicadores para cada una de estas subdimensiones, para lo cual utilizan datos secundarios de encuestas nacionales e internacionales y así realizar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(Estudio Longitudinal Social de Chile).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 dado su carácter longitudinal que permite analizar cambios en la cohesión social en el tiempo.</w:t>
      </w:r>
    </w:p>
    <w:p>
      <w:pPr>
        <w:pStyle w:val="Textoindependiente"/>
      </w:pPr>
      <w:r>
        <w:t xml:space="preserve">El principal objetivo de la encuesta ELSOC es evaluar la manera como piensan, sienten y se comportan las y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mediante panel, es decir, todos los años se encuesta a las mismas personas para así analizar cambios en trayectorias individuales en distintos temas. Los temas abordados en esta encuesta así como su naturaleza longitudinal la hacen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8"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ilvl w:val="0"/>
          <w:numId w:val="1007"/>
        </w:numPr>
      </w:pPr>
      <w:r>
        <w:t xml:space="preserve">Dimensión relaciones sociales de igualdad:</w:t>
      </w:r>
    </w:p>
    <w:p>
      <w:pPr>
        <w:numPr>
          <w:ilvl w:val="1"/>
          <w:numId w:val="1008"/>
        </w:numPr>
      </w:pPr>
      <w:r>
        <w:t xml:space="preserve">confianza interpersonal</w:t>
      </w:r>
    </w:p>
    <w:p>
      <w:pPr>
        <w:numPr>
          <w:ilvl w:val="1"/>
          <w:numId w:val="1008"/>
        </w:numPr>
      </w:pPr>
      <w:r>
        <w:t xml:space="preserve">reconocimiento y respecto de la diversidad</w:t>
      </w:r>
    </w:p>
    <w:p>
      <w:pPr>
        <w:numPr>
          <w:ilvl w:val="1"/>
          <w:numId w:val="1008"/>
        </w:numPr>
      </w:pPr>
      <w:r>
        <w:t xml:space="preserve">lazos</w:t>
      </w:r>
    </w:p>
    <w:p>
      <w:pPr>
        <w:numPr>
          <w:ilvl w:val="0"/>
          <w:numId w:val="1007"/>
        </w:numPr>
      </w:pPr>
      <w:r>
        <w:t xml:space="preserve">Dimensión sentido de pertenencia:</w:t>
      </w:r>
    </w:p>
    <w:p>
      <w:pPr>
        <w:numPr>
          <w:ilvl w:val="1"/>
          <w:numId w:val="1009"/>
        </w:numPr>
      </w:pPr>
      <w:r>
        <w:t xml:space="preserve">identificación con el país</w:t>
      </w:r>
    </w:p>
    <w:p>
      <w:pPr>
        <w:numPr>
          <w:ilvl w:val="1"/>
          <w:numId w:val="1009"/>
        </w:numPr>
      </w:pPr>
      <w:r>
        <w:t xml:space="preserve">percepción de justicia</w:t>
      </w:r>
    </w:p>
    <w:p>
      <w:pPr>
        <w:numPr>
          <w:ilvl w:val="1"/>
          <w:numId w:val="1009"/>
        </w:numPr>
      </w:pPr>
      <w:r>
        <w:t xml:space="preserve">confianza institucional</w:t>
      </w:r>
    </w:p>
    <w:p>
      <w:pPr>
        <w:numPr>
          <w:ilvl w:val="0"/>
          <w:numId w:val="1007"/>
        </w:numPr>
      </w:pPr>
      <w:r>
        <w:t xml:space="preserve">Dimensión orientación hacia el bien común:</w:t>
      </w:r>
    </w:p>
    <w:p>
      <w:pPr>
        <w:numPr>
          <w:ilvl w:val="1"/>
          <w:numId w:val="1010"/>
        </w:numPr>
      </w:pPr>
      <w:r>
        <w:t xml:space="preserve">solidaridad</w:t>
      </w:r>
    </w:p>
    <w:p>
      <w:pPr>
        <w:numPr>
          <w:ilvl w:val="1"/>
          <w:numId w:val="1010"/>
        </w:numPr>
      </w:pPr>
      <w:r>
        <w:t xml:space="preserve">participación cívica</w:t>
      </w:r>
    </w:p>
    <w:p>
      <w:pPr>
        <w:numPr>
          <w:ilvl w:val="0"/>
          <w:numId w:val="1007"/>
        </w:numPr>
      </w:pPr>
      <w:r>
        <w:t xml:space="preserve">Cohesión territorial</w:t>
      </w:r>
    </w:p>
    <w:p>
      <w:pPr>
        <w:pStyle w:val="FirstParagraph"/>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 los gráficos fluviales. La finalidad de esta sección no es presentar gatilladores del estallido social, tarea explicativa de una envergadura superior a lo que los datos permiten decir, sino que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11"/>
        </w:numPr>
      </w:pPr>
      <w:r>
        <w:t xml:space="preserve">Se puede confiar en la mayoría de las personas</w:t>
      </w:r>
    </w:p>
    <w:p>
      <w:pPr>
        <w:numPr>
          <w:ilvl w:val="0"/>
          <w:numId w:val="1011"/>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items que componen este indicador son:</w:t>
      </w:r>
    </w:p>
    <w:p>
      <w:pPr>
        <w:numPr>
          <w:ilvl w:val="0"/>
          <w:numId w:val="1012"/>
        </w:numPr>
      </w:pPr>
      <w:r>
        <w:t xml:space="preserve">Grado de confianza con personas homosexuales</w:t>
      </w:r>
    </w:p>
    <w:p>
      <w:pPr>
        <w:numPr>
          <w:ilvl w:val="0"/>
          <w:numId w:val="1012"/>
        </w:numPr>
      </w:pPr>
      <w:r>
        <w:t xml:space="preserve">Grado de confianza con personas mapuche</w:t>
      </w:r>
    </w:p>
    <w:p>
      <w:pPr>
        <w:numPr>
          <w:ilvl w:val="0"/>
          <w:numId w:val="1012"/>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13"/>
        </w:numPr>
      </w:pPr>
      <w:r>
        <w:t xml:space="preserve">Me siento orgulloso de ser chileno</w:t>
      </w:r>
    </w:p>
    <w:p>
      <w:pPr>
        <w:numPr>
          <w:ilvl w:val="0"/>
          <w:numId w:val="1013"/>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4"/>
        </w:numPr>
      </w:pPr>
      <w:r>
        <w:t xml:space="preserve">En Chile las personas son recompensadas por sus esfuerzos</w:t>
      </w:r>
    </w:p>
    <w:p>
      <w:pPr>
        <w:numPr>
          <w:ilvl w:val="0"/>
          <w:numId w:val="1014"/>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5"/>
        </w:numPr>
      </w:pPr>
      <w:r>
        <w:t xml:space="preserve">Confianza en el gobierno</w:t>
      </w:r>
    </w:p>
    <w:p>
      <w:pPr>
        <w:numPr>
          <w:ilvl w:val="0"/>
          <w:numId w:val="1015"/>
        </w:numPr>
      </w:pPr>
      <w:r>
        <w:t xml:space="preserve">Confianza en el presidente/a de la república</w:t>
      </w:r>
    </w:p>
    <w:p>
      <w:pPr>
        <w:numPr>
          <w:ilvl w:val="0"/>
          <w:numId w:val="1015"/>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desconfianza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6"/>
        </w:numPr>
      </w:pPr>
      <w:r>
        <w:t xml:space="preserve">Ha donado dinero a una obra social o de caridad</w:t>
      </w:r>
    </w:p>
    <w:p>
      <w:pPr>
        <w:numPr>
          <w:ilvl w:val="0"/>
          <w:numId w:val="1016"/>
        </w:numPr>
      </w:pPr>
      <w:r>
        <w:t xml:space="preserve">Ha prestado una suma de dinero de $10.000.- o más</w:t>
      </w:r>
    </w:p>
    <w:p>
      <w:pPr>
        <w:numPr>
          <w:ilvl w:val="0"/>
          <w:numId w:val="1016"/>
        </w:numPr>
      </w:pPr>
      <w:r>
        <w:t xml:space="preserve">Ha conversado con una persona en problemas o deprimida</w:t>
      </w:r>
    </w:p>
    <w:p>
      <w:pPr>
        <w:numPr>
          <w:ilvl w:val="0"/>
          <w:numId w:val="1016"/>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7"/>
        </w:numPr>
      </w:pPr>
      <w:r>
        <w:t xml:space="preserve">Firmado una carta o petición apoyando una causa</w:t>
      </w:r>
    </w:p>
    <w:p>
      <w:pPr>
        <w:numPr>
          <w:ilvl w:val="0"/>
          <w:numId w:val="1017"/>
        </w:numPr>
      </w:pPr>
      <w:r>
        <w:t xml:space="preserve">Asistido a una marcha o manifestación pacífica</w:t>
      </w:r>
    </w:p>
    <w:p>
      <w:pPr>
        <w:numPr>
          <w:ilvl w:val="0"/>
          <w:numId w:val="1017"/>
        </w:numPr>
      </w:pPr>
      <w:r>
        <w:t xml:space="preserve">Participado en una huelga</w:t>
      </w:r>
    </w:p>
    <w:p>
      <w:pPr>
        <w:numPr>
          <w:ilvl w:val="0"/>
          <w:numId w:val="1017"/>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cohesion-territorial"/>
    <w:p>
      <w:pPr>
        <w:pStyle w:val="Ttulo2"/>
      </w:pPr>
      <w:r>
        <w:rPr>
          <w:rStyle w:val="SectionNumber"/>
        </w:rPr>
        <w:t xml:space="preserve">2.4</w:t>
      </w:r>
      <w:r>
        <w:tab/>
      </w:r>
      <w:r>
        <w:t xml:space="preserve">Cohesion territorial</w:t>
      </w:r>
    </w:p>
    <w:p>
      <w:pPr>
        <w:pStyle w:val="FirstParagraph"/>
      </w:pPr>
      <w:r>
        <w:t xml:space="preserve">Los items que componen este indicador son:</w:t>
      </w:r>
    </w:p>
    <w:p>
      <w:pPr>
        <w:numPr>
          <w:ilvl w:val="0"/>
          <w:numId w:val="1018"/>
        </w:numPr>
      </w:pPr>
      <w:r>
        <w:t xml:space="preserve">Este barrio es ideal para mi</w:t>
      </w:r>
    </w:p>
    <w:p>
      <w:pPr>
        <w:numPr>
          <w:ilvl w:val="0"/>
          <w:numId w:val="1018"/>
        </w:numPr>
      </w:pPr>
      <w:r>
        <w:t xml:space="preserve">Me siento integrado/a en este barrio</w:t>
      </w:r>
    </w:p>
    <w:p>
      <w:pPr>
        <w:numPr>
          <w:ilvl w:val="0"/>
          <w:numId w:val="1018"/>
        </w:numPr>
      </w:pPr>
      <w:r>
        <w:t xml:space="preserve">Me identifico con la gente de este barrio</w:t>
      </w:r>
    </w:p>
    <w:p>
      <w:pPr>
        <w:numPr>
          <w:ilvl w:val="0"/>
          <w:numId w:val="1018"/>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Sin embargo, uno de los cambios más significativos se da en relación con la confianza institucional, que ya siendo muy baja, lo que es un problema para la cohesión social, baja aún más dramáticamente a partir de 2018.</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w:t>
      </w:r>
    </w:p>
    <w:bookmarkEnd w:id="87"/>
    <w:bookmarkEnd w:id="88"/>
    <w:bookmarkStart w:id="102" w:name="Xce4ceb0c0204d9856f90dbb3566ad8fbfdfdc3b"/>
    <w:p>
      <w:pPr>
        <w:pStyle w:val="Ttulo1"/>
      </w:pPr>
      <w:r>
        <w:rPr>
          <w:rStyle w:val="SectionNumber"/>
        </w:rPr>
        <w:t xml:space="preserve">3</w:t>
      </w:r>
      <w:r>
        <w:tab/>
      </w:r>
      <w:r>
        <w:t xml:space="preserve">Habilitadores e inhibidores de la cohesión social</w:t>
      </w:r>
    </w:p>
    <w:bookmarkStart w:id="101" w:name="X7ea9c994c3adcaacde818179fe147d55f01a70e"/>
    <w:p>
      <w:pPr>
        <w:pStyle w:val="Ttulo2"/>
      </w:pPr>
      <w:r>
        <w:rPr>
          <w:rStyle w:val="SectionNumber"/>
        </w:rPr>
        <w:t xml:space="preserve">3.1</w:t>
      </w:r>
      <w:r>
        <w:tab/>
      </w:r>
      <w:r>
        <w:t xml:space="preserve">Versión 2. Perfiles de la cohesión social</w:t>
      </w:r>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bookmarkStart w:id="90" w:name="X99d0de76ebbadd9f096d1d3f89e528e6ed4d4c4"/>
    <w:p>
      <w:pPr>
        <w:pStyle w:val="Ttulo3"/>
      </w:pPr>
      <w:r>
        <w:rPr>
          <w:rStyle w:val="SectionNumber"/>
        </w:rPr>
        <w:t xml:space="preserve">3.1.1</w:t>
      </w:r>
      <w:r>
        <w:tab/>
      </w:r>
      <w:r>
        <w:t xml:space="preserve">Procedimiento. Tipología de clases latentes a partir de subdimensiones de cohesión</w:t>
      </w:r>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 .</w:t>
      </w:r>
    </w:p>
    <w:p>
      <w:pPr>
        <w:pStyle w:val="Textoindependiente"/>
      </w:pPr>
      <w:r>
        <w:drawing>
          <wp:inline>
            <wp:extent cx="5600700" cy="2240280"/>
            <wp:effectExtent b="0" l="0" r="0" t="0"/>
            <wp:docPr descr="" title="" id="1" name="Picture"/>
            <a:graphic>
              <a:graphicData uri="http://schemas.openxmlformats.org/drawingml/2006/picture">
                <pic:pic>
                  <pic:nvPicPr>
                    <pic:cNvPr descr="output/graphs/lca3.jpg" id="0" name="Picture"/>
                    <pic:cNvPicPr>
                      <a:picLocks noChangeArrowheads="1" noChangeAspect="1"/>
                    </pic:cNvPicPr>
                  </pic:nvPicPr>
                  <pic:blipFill>
                    <a:blip r:embed="rId89"/>
                    <a:stretch>
                      <a:fillRect/>
                    </a:stretch>
                  </pic:blipFill>
                  <pic:spPr bwMode="auto">
                    <a:xfrm>
                      <a:off x="0" y="0"/>
                      <a:ext cx="5600700" cy="2240280"/>
                    </a:xfrm>
                    <a:prstGeom prst="rect">
                      <a:avLst/>
                    </a:prstGeom>
                    <a:noFill/>
                    <a:ln w="9525">
                      <a:noFill/>
                      <a:headEnd/>
                      <a:tailEnd/>
                    </a:ln>
                  </pic:spPr>
                </pic:pic>
              </a:graphicData>
            </a:graphic>
          </wp:inline>
        </w:drawing>
      </w:r>
    </w:p>
    <w:bookmarkEnd w:id="90"/>
    <w:bookmarkStart w:id="91" w:name="X7267b6fd62c98c26e7a58b8144041d8ba5bb154"/>
    <w:p>
      <w:pPr>
        <w:pStyle w:val="Ttulo3"/>
      </w:pPr>
      <w:r>
        <w:rPr>
          <w:rStyle w:val="SectionNumber"/>
        </w:rPr>
        <w:t xml:space="preserve">3.1.2</w:t>
      </w:r>
      <w:r>
        <w:tab/>
      </w:r>
      <w:r>
        <w:t xml:space="preserve">Descripción. Mapeo en Chile de niveles de cohesión por regiones (mapas de calor)</w:t>
      </w:r>
    </w:p>
    <w:p>
      <w:pPr>
        <w:pStyle w:val="FirstParagraph"/>
      </w:pPr>
      <w:r>
        <w:t xml:space="preserve">Las agrupaciones obtenidas a partir del ACL será representada en los territorios de forma que se pueda apreciar la pauta predominante en cada región del país.</w:t>
      </w:r>
    </w:p>
    <w:p>
      <w:pPr>
        <w:pStyle w:val="Textoindependiente"/>
      </w:pPr>
      <w:r>
        <w:t xml:space="preserve">Region</w:t>
      </w:r>
    </w:p>
    <w:p>
      <w:pPr>
        <w:pStyle w:val="Textoindependiente"/>
      </w:pPr>
      <w:r>
        <w:t xml:space="preserve">Clases de cohesión social</w:t>
      </w:r>
    </w:p>
    <w:p>
      <w:pPr>
        <w:pStyle w:val="Textoindependiente"/>
      </w:pPr>
      <w:r>
        <w:t xml:space="preserve">Institucional</w:t>
      </w:r>
    </w:p>
    <w:p>
      <w:pPr>
        <w:pStyle w:val="Textoindependiente"/>
      </w:pPr>
      <w:r>
        <w:t xml:space="preserve">Movilizado</w:t>
      </w:r>
    </w:p>
    <w:p>
      <w:pPr>
        <w:pStyle w:val="Textoindependiente"/>
      </w:pPr>
      <w:r>
        <w:t xml:space="preserve">Atomizado</w:t>
      </w:r>
    </w:p>
    <w:p>
      <w:pPr>
        <w:pStyle w:val="Textoindependiente"/>
      </w:pPr>
      <w:r>
        <w:t xml:space="preserve">N=100%</w:t>
      </w:r>
    </w:p>
    <w:p>
      <w:pPr>
        <w:pStyle w:val="Textoindependiente"/>
      </w:pPr>
      <w:r>
        <w:t xml:space="preserve">Antofagasta</w:t>
      </w:r>
    </w:p>
    <w:p>
      <w:pPr>
        <w:pStyle w:val="Textoindependiente"/>
      </w:pPr>
      <w:r>
        <w:t xml:space="preserve">60.0</w:t>
      </w:r>
    </w:p>
    <w:p>
      <w:pPr>
        <w:pStyle w:val="Textoindependiente"/>
      </w:pPr>
      <w:r>
        <w:t xml:space="preserve">25.7</w:t>
      </w:r>
    </w:p>
    <w:p>
      <w:pPr>
        <w:pStyle w:val="Textoindependiente"/>
      </w:pPr>
      <w:r>
        <w:t xml:space="preserve">14.3</w:t>
      </w:r>
    </w:p>
    <w:p>
      <w:pPr>
        <w:pStyle w:val="Textoindependiente"/>
      </w:pPr>
      <w:r>
        <w:t xml:space="preserve">35</w:t>
      </w:r>
    </w:p>
    <w:p>
      <w:pPr>
        <w:pStyle w:val="Textoindependiente"/>
      </w:pPr>
      <w:r>
        <w:t xml:space="preserve">Araucania</w:t>
      </w:r>
    </w:p>
    <w:p>
      <w:pPr>
        <w:pStyle w:val="Textoindependiente"/>
      </w:pPr>
      <w:r>
        <w:t xml:space="preserve">36.4</w:t>
      </w:r>
    </w:p>
    <w:p>
      <w:pPr>
        <w:pStyle w:val="Textoindependiente"/>
      </w:pPr>
      <w:r>
        <w:t xml:space="preserve">39.7</w:t>
      </w:r>
    </w:p>
    <w:p>
      <w:pPr>
        <w:pStyle w:val="Textoindependiente"/>
      </w:pPr>
      <w:r>
        <w:t xml:space="preserve">24.0</w:t>
      </w:r>
    </w:p>
    <w:p>
      <w:pPr>
        <w:pStyle w:val="Textoindependiente"/>
      </w:pPr>
      <w:r>
        <w:t xml:space="preserve">121</w:t>
      </w:r>
    </w:p>
    <w:p>
      <w:pPr>
        <w:pStyle w:val="Textoindependiente"/>
      </w:pPr>
      <w:r>
        <w:t xml:space="preserve">Atacama</w:t>
      </w:r>
    </w:p>
    <w:p>
      <w:pPr>
        <w:pStyle w:val="Textoindependiente"/>
      </w:pPr>
      <w:r>
        <w:t xml:space="preserve">51.9</w:t>
      </w:r>
    </w:p>
    <w:p>
      <w:pPr>
        <w:pStyle w:val="Textoindependiente"/>
      </w:pPr>
      <w:r>
        <w:t xml:space="preserve">22.2</w:t>
      </w:r>
    </w:p>
    <w:p>
      <w:pPr>
        <w:pStyle w:val="Textoindependiente"/>
      </w:pPr>
      <w:r>
        <w:t xml:space="preserve">25.9</w:t>
      </w:r>
    </w:p>
    <w:p>
      <w:pPr>
        <w:pStyle w:val="Textoindependiente"/>
      </w:pPr>
      <w:r>
        <w:t xml:space="preserve">54</w:t>
      </w:r>
    </w:p>
    <w:p>
      <w:pPr>
        <w:pStyle w:val="Textoindependiente"/>
      </w:pPr>
      <w:r>
        <w:t xml:space="preserve">Aysen</w:t>
      </w:r>
    </w:p>
    <w:p>
      <w:pPr>
        <w:pStyle w:val="Textoindependiente"/>
      </w:pPr>
      <w:r>
        <w:t xml:space="preserve">63.6</w:t>
      </w:r>
    </w:p>
    <w:p>
      <w:pPr>
        <w:pStyle w:val="Textoindependiente"/>
      </w:pPr>
      <w:r>
        <w:t xml:space="preserve">18.2</w:t>
      </w:r>
    </w:p>
    <w:p>
      <w:pPr>
        <w:pStyle w:val="Textoindependiente"/>
      </w:pPr>
      <w:r>
        <w:t xml:space="preserve">18.2</w:t>
      </w:r>
    </w:p>
    <w:p>
      <w:pPr>
        <w:pStyle w:val="Textoindependiente"/>
      </w:pPr>
      <w:r>
        <w:t xml:space="preserve">11</w:t>
      </w:r>
    </w:p>
    <w:p>
      <w:pPr>
        <w:pStyle w:val="Textoindependiente"/>
      </w:pPr>
      <w:r>
        <w:t xml:space="preserve">Bio Bio</w:t>
      </w:r>
    </w:p>
    <w:p>
      <w:pPr>
        <w:pStyle w:val="Textoindependiente"/>
      </w:pPr>
      <w:r>
        <w:t xml:space="preserve">37.8</w:t>
      </w:r>
    </w:p>
    <w:p>
      <w:pPr>
        <w:pStyle w:val="Textoindependiente"/>
      </w:pPr>
      <w:r>
        <w:t xml:space="preserve">38.2</w:t>
      </w:r>
    </w:p>
    <w:p>
      <w:pPr>
        <w:pStyle w:val="Textoindependiente"/>
      </w:pPr>
      <w:r>
        <w:t xml:space="preserve">24.0</w:t>
      </w:r>
    </w:p>
    <w:p>
      <w:pPr>
        <w:pStyle w:val="Textoindependiente"/>
      </w:pPr>
      <w:r>
        <w:t xml:space="preserve">275</w:t>
      </w:r>
    </w:p>
    <w:p>
      <w:pPr>
        <w:pStyle w:val="Textoindependiente"/>
      </w:pPr>
      <w:r>
        <w:t xml:space="preserve">Coquimbo</w:t>
      </w:r>
    </w:p>
    <w:p>
      <w:pPr>
        <w:pStyle w:val="Textoindependiente"/>
      </w:pPr>
      <w:r>
        <w:t xml:space="preserve">28.2</w:t>
      </w:r>
    </w:p>
    <w:p>
      <w:pPr>
        <w:pStyle w:val="Textoindependiente"/>
      </w:pPr>
      <w:r>
        <w:t xml:space="preserve">42.4</w:t>
      </w:r>
    </w:p>
    <w:p>
      <w:pPr>
        <w:pStyle w:val="Textoindependiente"/>
      </w:pPr>
      <w:r>
        <w:t xml:space="preserve">29.4</w:t>
      </w:r>
    </w:p>
    <w:p>
      <w:pPr>
        <w:pStyle w:val="Textoindependiente"/>
      </w:pPr>
      <w:r>
        <w:t xml:space="preserve">85</w:t>
      </w:r>
    </w:p>
    <w:p>
      <w:pPr>
        <w:pStyle w:val="Textoindependiente"/>
      </w:pPr>
      <w:r>
        <w:t xml:space="preserve">Lib. Gral. B. Ohiggins</w:t>
      </w:r>
    </w:p>
    <w:p>
      <w:pPr>
        <w:pStyle w:val="Textoindependiente"/>
      </w:pPr>
      <w:r>
        <w:t xml:space="preserve">56.6</w:t>
      </w:r>
    </w:p>
    <w:p>
      <w:pPr>
        <w:pStyle w:val="Textoindependiente"/>
      </w:pPr>
      <w:r>
        <w:t xml:space="preserve">20.8</w:t>
      </w:r>
    </w:p>
    <w:p>
      <w:pPr>
        <w:pStyle w:val="Textoindependiente"/>
      </w:pPr>
      <w:r>
        <w:t xml:space="preserve">22.6</w:t>
      </w:r>
    </w:p>
    <w:p>
      <w:pPr>
        <w:pStyle w:val="Textoindependiente"/>
      </w:pPr>
      <w:r>
        <w:t xml:space="preserve">53</w:t>
      </w:r>
    </w:p>
    <w:p>
      <w:pPr>
        <w:pStyle w:val="Textoindependiente"/>
      </w:pPr>
      <w:r>
        <w:t xml:space="preserve">Los Lagos</w:t>
      </w:r>
    </w:p>
    <w:p>
      <w:pPr>
        <w:pStyle w:val="Textoindependiente"/>
      </w:pPr>
      <w:r>
        <w:t xml:space="preserve">48.5</w:t>
      </w:r>
    </w:p>
    <w:p>
      <w:pPr>
        <w:pStyle w:val="Textoindependiente"/>
      </w:pPr>
      <w:r>
        <w:t xml:space="preserve">30.3</w:t>
      </w:r>
    </w:p>
    <w:p>
      <w:pPr>
        <w:pStyle w:val="Textoindependiente"/>
      </w:pPr>
      <w:r>
        <w:t xml:space="preserve">21.2</w:t>
      </w:r>
    </w:p>
    <w:p>
      <w:pPr>
        <w:pStyle w:val="Textoindependiente"/>
      </w:pPr>
      <w:r>
        <w:t xml:space="preserve">33</w:t>
      </w:r>
    </w:p>
    <w:p>
      <w:pPr>
        <w:pStyle w:val="Textoindependiente"/>
      </w:pPr>
      <w:r>
        <w:t xml:space="preserve">Los Rios</w:t>
      </w:r>
    </w:p>
    <w:p>
      <w:pPr>
        <w:pStyle w:val="Textoindependiente"/>
      </w:pPr>
      <w:r>
        <w:t xml:space="preserve">12.9</w:t>
      </w:r>
    </w:p>
    <w:p>
      <w:pPr>
        <w:pStyle w:val="Textoindependiente"/>
      </w:pPr>
      <w:r>
        <w:t xml:space="preserve">74.2</w:t>
      </w:r>
    </w:p>
    <w:p>
      <w:pPr>
        <w:pStyle w:val="Textoindependiente"/>
      </w:pPr>
      <w:r>
        <w:t xml:space="preserve">12.9</w:t>
      </w:r>
    </w:p>
    <w:p>
      <w:pPr>
        <w:pStyle w:val="Textoindependiente"/>
      </w:pPr>
      <w:r>
        <w:t xml:space="preserve">31</w:t>
      </w:r>
    </w:p>
    <w:p>
      <w:pPr>
        <w:pStyle w:val="Textoindependiente"/>
      </w:pPr>
      <w:r>
        <w:t xml:space="preserve">Maule</w:t>
      </w:r>
    </w:p>
    <w:p>
      <w:pPr>
        <w:pStyle w:val="Textoindependiente"/>
      </w:pPr>
      <w:r>
        <w:t xml:space="preserve">38.8</w:t>
      </w:r>
    </w:p>
    <w:p>
      <w:pPr>
        <w:pStyle w:val="Textoindependiente"/>
      </w:pPr>
      <w:r>
        <w:t xml:space="preserve">38.8</w:t>
      </w:r>
    </w:p>
    <w:p>
      <w:pPr>
        <w:pStyle w:val="Textoindependiente"/>
      </w:pPr>
      <w:r>
        <w:t xml:space="preserve">22.3</w:t>
      </w:r>
    </w:p>
    <w:p>
      <w:pPr>
        <w:pStyle w:val="Textoindependiente"/>
      </w:pPr>
      <w:r>
        <w:t xml:space="preserve">121</w:t>
      </w:r>
    </w:p>
    <w:p>
      <w:pPr>
        <w:pStyle w:val="Textoindependiente"/>
      </w:pPr>
      <w:r>
        <w:t xml:space="preserve">Metropolitana</w:t>
      </w:r>
    </w:p>
    <w:p>
      <w:pPr>
        <w:pStyle w:val="Textoindependiente"/>
      </w:pPr>
      <w:r>
        <w:t xml:space="preserve">47.8</w:t>
      </w:r>
    </w:p>
    <w:p>
      <w:pPr>
        <w:pStyle w:val="Textoindependiente"/>
      </w:pPr>
      <w:r>
        <w:t xml:space="preserve">26.6</w:t>
      </w:r>
    </w:p>
    <w:p>
      <w:pPr>
        <w:pStyle w:val="Textoindependiente"/>
      </w:pPr>
      <w:r>
        <w:t xml:space="preserve">25.6</w:t>
      </w:r>
    </w:p>
    <w:p>
      <w:pPr>
        <w:pStyle w:val="Textoindependiente"/>
      </w:pPr>
      <w:r>
        <w:t xml:space="preserve">425</w:t>
      </w:r>
    </w:p>
    <w:p>
      <w:pPr>
        <w:pStyle w:val="Textoindependiente"/>
      </w:pPr>
      <w:r>
        <w:t xml:space="preserve">Tarapaca</w:t>
      </w:r>
    </w:p>
    <w:p>
      <w:pPr>
        <w:pStyle w:val="Textoindependiente"/>
      </w:pPr>
      <w:r>
        <w:t xml:space="preserve">54.5</w:t>
      </w:r>
    </w:p>
    <w:p>
      <w:pPr>
        <w:pStyle w:val="Textoindependiente"/>
      </w:pPr>
      <w:r>
        <w:t xml:space="preserve">27.3</w:t>
      </w:r>
    </w:p>
    <w:p>
      <w:pPr>
        <w:pStyle w:val="Textoindependiente"/>
      </w:pPr>
      <w:r>
        <w:t xml:space="preserve">18.2</w:t>
      </w:r>
    </w:p>
    <w:p>
      <w:pPr>
        <w:pStyle w:val="Textoindependiente"/>
      </w:pPr>
      <w:r>
        <w:t xml:space="preserve">22</w:t>
      </w:r>
    </w:p>
    <w:p>
      <w:pPr>
        <w:pStyle w:val="Textoindependiente"/>
      </w:pPr>
      <w:r>
        <w:t xml:space="preserve">Valparaiso</w:t>
      </w:r>
    </w:p>
    <w:p>
      <w:pPr>
        <w:pStyle w:val="Textoindependiente"/>
      </w:pPr>
      <w:r>
        <w:t xml:space="preserve">46.4</w:t>
      </w:r>
    </w:p>
    <w:p>
      <w:pPr>
        <w:pStyle w:val="Textoindependiente"/>
      </w:pPr>
      <w:r>
        <w:t xml:space="preserve">28.1</w:t>
      </w:r>
    </w:p>
    <w:p>
      <w:pPr>
        <w:pStyle w:val="Textoindependiente"/>
      </w:pPr>
      <w:r>
        <w:t xml:space="preserve">25.4</w:t>
      </w:r>
    </w:p>
    <w:p>
      <w:pPr>
        <w:pStyle w:val="Textoindependiente"/>
      </w:pPr>
      <w:r>
        <w:t xml:space="preserve">224</w:t>
      </w:r>
    </w:p>
    <w:p>
      <w:pPr>
        <w:pStyle w:val="Textoindependiente"/>
      </w:pPr>
      <w:r>
        <w:t xml:space="preserve">N=100%</w:t>
      </w:r>
    </w:p>
    <w:p>
      <w:pPr>
        <w:pStyle w:val="Textoindependiente"/>
      </w:pPr>
      <w:r>
        <w:t xml:space="preserve">644.0</w:t>
      </w:r>
    </w:p>
    <w:p>
      <w:pPr>
        <w:pStyle w:val="Textoindependiente"/>
      </w:pPr>
      <w:r>
        <w:t xml:space="preserve">485.0</w:t>
      </w:r>
    </w:p>
    <w:p>
      <w:pPr>
        <w:pStyle w:val="Textoindependiente"/>
      </w:pPr>
      <w:r>
        <w:t xml:space="preserve">361.0</w:t>
      </w:r>
    </w:p>
    <w:p>
      <w:pPr>
        <w:pStyle w:val="Textoindependiente"/>
      </w:pPr>
      <w:r>
        <w:t xml:space="preserve">1490</w:t>
      </w:r>
    </w:p>
    <w:bookmarkEnd w:id="91"/>
    <w:bookmarkStart w:id="100" w:name="X024c074f0d0bc8bc142987c0d636788875fbbd9"/>
    <w:p>
      <w:pPr>
        <w:pStyle w:val="Ttulo3"/>
      </w:pPr>
      <w:r>
        <w:rPr>
          <w:rStyle w:val="SectionNumber"/>
        </w:rPr>
        <w:t xml:space="preserve">3.1.3</w:t>
      </w:r>
      <w:r>
        <w:tab/>
      </w:r>
      <w:r>
        <w:t xml:space="preserve">Análisis. Tablas con niveles de cohesión por elementos habilitadores</w:t>
      </w:r>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bookmarkStart w:id="92" w:name="inclusión-laboral"/>
    <w:p>
      <w:pPr>
        <w:pStyle w:val="Ttulo4"/>
      </w:pPr>
      <w:r>
        <w:rPr>
          <w:rStyle w:val="SectionNumber"/>
        </w:rPr>
        <w:t xml:space="preserve">3.1.3.1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N=100%</w:t>
      </w:r>
    </w:p>
    <w:p>
      <w:pPr>
        <w:pStyle w:val="Textoindependiente"/>
      </w:pPr>
      <w:r>
        <w:t xml:space="preserve">Institucional</w:t>
      </w:r>
    </w:p>
    <w:p>
      <w:pPr>
        <w:pStyle w:val="Textoindependiente"/>
      </w:pPr>
      <w:r>
        <w:t xml:space="preserve">55.7</w:t>
      </w:r>
    </w:p>
    <w:p>
      <w:pPr>
        <w:pStyle w:val="Textoindependiente"/>
      </w:pPr>
      <w:r>
        <w:t xml:space="preserve">43.6</w:t>
      </w:r>
    </w:p>
    <w:p>
      <w:pPr>
        <w:pStyle w:val="Textoindependiente"/>
      </w:pPr>
      <w:r>
        <w:t xml:space="preserve">467</w:t>
      </w:r>
    </w:p>
    <w:p>
      <w:pPr>
        <w:pStyle w:val="Textoindependiente"/>
      </w:pPr>
      <w:r>
        <w:t xml:space="preserve">Movilizado</w:t>
      </w:r>
    </w:p>
    <w:p>
      <w:pPr>
        <w:pStyle w:val="Textoindependiente"/>
      </w:pPr>
      <w:r>
        <w:t xml:space="preserve">23.5</w:t>
      </w:r>
    </w:p>
    <w:p>
      <w:pPr>
        <w:pStyle w:val="Textoindependiente"/>
      </w:pPr>
      <w:r>
        <w:t xml:space="preserve">34.1</w:t>
      </w:r>
    </w:p>
    <w:p>
      <w:pPr>
        <w:pStyle w:val="Textoindependiente"/>
      </w:pPr>
      <w:r>
        <w:t xml:space="preserve">246</w:t>
      </w:r>
    </w:p>
    <w:p>
      <w:pPr>
        <w:pStyle w:val="Textoindependiente"/>
      </w:pPr>
      <w:r>
        <w:t xml:space="preserve">Atomizado</w:t>
      </w:r>
    </w:p>
    <w:p>
      <w:pPr>
        <w:pStyle w:val="Textoindependiente"/>
      </w:pPr>
      <w:r>
        <w:t xml:space="preserve">20.8</w:t>
      </w:r>
    </w:p>
    <w:p>
      <w:pPr>
        <w:pStyle w:val="Textoindependiente"/>
      </w:pPr>
      <w:r>
        <w:t xml:space="preserve">22.3</w:t>
      </w:r>
    </w:p>
    <w:p>
      <w:pPr>
        <w:pStyle w:val="Textoindependiente"/>
      </w:pPr>
      <w:r>
        <w:t xml:space="preserve">193</w:t>
      </w:r>
    </w:p>
    <w:p>
      <w:pPr>
        <w:pStyle w:val="Textoindependiente"/>
      </w:pPr>
      <w:r>
        <w:t xml:space="preserve">N=100%</w:t>
      </w:r>
    </w:p>
    <w:p>
      <w:pPr>
        <w:pStyle w:val="Textoindependiente"/>
      </w:pPr>
      <w:r>
        <w:t xml:space="preserve">592.0</w:t>
      </w:r>
    </w:p>
    <w:p>
      <w:pPr>
        <w:pStyle w:val="Textoindependiente"/>
      </w:pPr>
      <w:r>
        <w:t xml:space="preserve">314.0</w:t>
      </w:r>
    </w:p>
    <w:p>
      <w:pPr>
        <w:pStyle w:val="Textoindependiente"/>
      </w:pPr>
      <w:r>
        <w:t xml:space="preserve">906</w:t>
      </w:r>
    </w:p>
    <w:bookmarkEnd w:id="92"/>
    <w:bookmarkStart w:id="99" w:name="inclusión-social"/>
    <w:p>
      <w:pPr>
        <w:pStyle w:val="Ttulo4"/>
      </w:pPr>
      <w:r>
        <w:rPr>
          <w:rStyle w:val="SectionNumber"/>
        </w:rPr>
        <w:t xml:space="preserve">3.1.3.2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9"/>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numPr>
          <w:ilvl w:val="1"/>
          <w:numId w:val="1020"/>
        </w:numPr>
        <w:pStyle w:val="Compact"/>
      </w:pPr>
      <w:r>
        <w:t xml:space="preserve">La edad está medida en años</w:t>
      </w:r>
    </w:p>
    <w:p>
      <w:pPr>
        <w:pStyle w:val="FirstParagraph"/>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N=100%</w:t>
      </w:r>
    </w:p>
    <w:p>
      <w:pPr>
        <w:pStyle w:val="Textoindependiente"/>
      </w:pPr>
      <w:r>
        <w:t xml:space="preserve">Institucional</w:t>
      </w:r>
    </w:p>
    <w:p>
      <w:pPr>
        <w:pStyle w:val="Textoindependiente"/>
      </w:pPr>
      <w:r>
        <w:t xml:space="preserve">66.3</w:t>
      </w:r>
    </w:p>
    <w:p>
      <w:pPr>
        <w:pStyle w:val="Textoindependiente"/>
      </w:pPr>
      <w:r>
        <w:t xml:space="preserve">57.0</w:t>
      </w:r>
    </w:p>
    <w:p>
      <w:pPr>
        <w:pStyle w:val="Textoindependiente"/>
      </w:pPr>
      <w:r>
        <w:t xml:space="preserve">49.6</w:t>
      </w:r>
    </w:p>
    <w:p>
      <w:pPr>
        <w:pStyle w:val="Textoindependiente"/>
      </w:pPr>
      <w:r>
        <w:t xml:space="preserve">39.7</w:t>
      </w:r>
    </w:p>
    <w:p>
      <w:pPr>
        <w:pStyle w:val="Textoindependiente"/>
      </w:pPr>
      <w:r>
        <w:t xml:space="preserve">21.8</w:t>
      </w:r>
    </w:p>
    <w:p>
      <w:pPr>
        <w:pStyle w:val="Textoindependiente"/>
      </w:pPr>
      <w:r>
        <w:t xml:space="preserve">644</w:t>
      </w:r>
    </w:p>
    <w:p>
      <w:pPr>
        <w:pStyle w:val="Textoindependiente"/>
      </w:pPr>
      <w:r>
        <w:t xml:space="preserve">Movilizado</w:t>
      </w:r>
    </w:p>
    <w:p>
      <w:pPr>
        <w:pStyle w:val="Textoindependiente"/>
      </w:pPr>
      <w:r>
        <w:t xml:space="preserve">9.1</w:t>
      </w:r>
    </w:p>
    <w:p>
      <w:pPr>
        <w:pStyle w:val="Textoindependiente"/>
      </w:pPr>
      <w:r>
        <w:t xml:space="preserve">14.3</w:t>
      </w:r>
    </w:p>
    <w:p>
      <w:pPr>
        <w:pStyle w:val="Textoindependiente"/>
      </w:pPr>
      <w:r>
        <w:t xml:space="preserve">27.7</w:t>
      </w:r>
    </w:p>
    <w:p>
      <w:pPr>
        <w:pStyle w:val="Textoindependiente"/>
      </w:pPr>
      <w:r>
        <w:t xml:space="preserve">35.2</w:t>
      </w:r>
    </w:p>
    <w:p>
      <w:pPr>
        <w:pStyle w:val="Textoindependiente"/>
      </w:pPr>
      <w:r>
        <w:t xml:space="preserve">57.2</w:t>
      </w:r>
    </w:p>
    <w:p>
      <w:pPr>
        <w:pStyle w:val="Textoindependiente"/>
      </w:pPr>
      <w:r>
        <w:t xml:space="preserve">485</w:t>
      </w:r>
    </w:p>
    <w:p>
      <w:pPr>
        <w:pStyle w:val="Textoindependiente"/>
      </w:pPr>
      <w:r>
        <w:t xml:space="preserve">Atomizado</w:t>
      </w:r>
    </w:p>
    <w:p>
      <w:pPr>
        <w:pStyle w:val="Textoindependiente"/>
      </w:pPr>
      <w:r>
        <w:t xml:space="preserve">24.6</w:t>
      </w:r>
    </w:p>
    <w:p>
      <w:pPr>
        <w:pStyle w:val="Textoindependiente"/>
      </w:pPr>
      <w:r>
        <w:t xml:space="preserve">28.7</w:t>
      </w:r>
    </w:p>
    <w:p>
      <w:pPr>
        <w:pStyle w:val="Textoindependiente"/>
      </w:pPr>
      <w:r>
        <w:t xml:space="preserve">22.7</w:t>
      </w:r>
    </w:p>
    <w:p>
      <w:pPr>
        <w:pStyle w:val="Textoindependiente"/>
      </w:pPr>
      <w:r>
        <w:t xml:space="preserve">25.1</w:t>
      </w:r>
    </w:p>
    <w:p>
      <w:pPr>
        <w:pStyle w:val="Textoindependiente"/>
      </w:pPr>
      <w:r>
        <w:t xml:space="preserve">21.0</w:t>
      </w:r>
    </w:p>
    <w:p>
      <w:pPr>
        <w:pStyle w:val="Textoindependiente"/>
      </w:pPr>
      <w:r>
        <w:t xml:space="preserve">361</w:t>
      </w:r>
    </w:p>
    <w:p>
      <w:pPr>
        <w:pStyle w:val="Textoindependiente"/>
      </w:pPr>
      <w:r>
        <w:t xml:space="preserve">N=100%</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1490</w:t>
      </w:r>
    </w:p>
    <w:p>
      <w:pPr>
        <w:numPr>
          <w:ilvl w:val="0"/>
          <w:numId w:val="1021"/>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N=100%</w:t>
      </w:r>
    </w:p>
    <w:p>
      <w:pPr>
        <w:pStyle w:val="Textoindependiente"/>
      </w:pPr>
      <w:r>
        <w:t xml:space="preserve">Institucional</w:t>
      </w:r>
    </w:p>
    <w:p>
      <w:pPr>
        <w:pStyle w:val="Textoindependiente"/>
      </w:pPr>
      <w:r>
        <w:t xml:space="preserve">47.7</w:t>
      </w:r>
    </w:p>
    <w:p>
      <w:pPr>
        <w:pStyle w:val="Textoindependiente"/>
      </w:pPr>
      <w:r>
        <w:t xml:space="preserve">40.8</w:t>
      </w:r>
    </w:p>
    <w:p>
      <w:pPr>
        <w:pStyle w:val="Textoindependiente"/>
      </w:pPr>
      <w:r>
        <w:t xml:space="preserve">644</w:t>
      </w:r>
    </w:p>
    <w:p>
      <w:pPr>
        <w:pStyle w:val="Textoindependiente"/>
      </w:pPr>
      <w:r>
        <w:t xml:space="preserve">Movilizado</w:t>
      </w:r>
    </w:p>
    <w:p>
      <w:pPr>
        <w:pStyle w:val="Textoindependiente"/>
      </w:pPr>
      <w:r>
        <w:t xml:space="preserve">31.7</w:t>
      </w:r>
    </w:p>
    <w:p>
      <w:pPr>
        <w:pStyle w:val="Textoindependiente"/>
      </w:pPr>
      <w:r>
        <w:t xml:space="preserve">33.0</w:t>
      </w:r>
    </w:p>
    <w:p>
      <w:pPr>
        <w:pStyle w:val="Textoindependiente"/>
      </w:pPr>
      <w:r>
        <w:t xml:space="preserve">485</w:t>
      </w:r>
    </w:p>
    <w:p>
      <w:pPr>
        <w:pStyle w:val="Textoindependiente"/>
      </w:pPr>
      <w:r>
        <w:t xml:space="preserve">Atomizado</w:t>
      </w:r>
    </w:p>
    <w:p>
      <w:pPr>
        <w:pStyle w:val="Textoindependiente"/>
      </w:pPr>
      <w:r>
        <w:t xml:space="preserve">20.6</w:t>
      </w:r>
    </w:p>
    <w:p>
      <w:pPr>
        <w:pStyle w:val="Textoindependiente"/>
      </w:pPr>
      <w:r>
        <w:t xml:space="preserve">26.2</w:t>
      </w:r>
    </w:p>
    <w:p>
      <w:pPr>
        <w:pStyle w:val="Textoindependiente"/>
      </w:pPr>
      <w:r>
        <w:t xml:space="preserve">361</w:t>
      </w:r>
    </w:p>
    <w:p>
      <w:pPr>
        <w:pStyle w:val="Textoindependiente"/>
      </w:pPr>
      <w:r>
        <w:t xml:space="preserve">N=100%</w:t>
      </w:r>
    </w:p>
    <w:p>
      <w:pPr>
        <w:pStyle w:val="Textoindependiente"/>
      </w:pPr>
      <w:r>
        <w:t xml:space="preserve">520.0</w:t>
      </w:r>
    </w:p>
    <w:p>
      <w:pPr>
        <w:pStyle w:val="Textoindependiente"/>
      </w:pPr>
      <w:r>
        <w:t xml:space="preserve">970.0</w:t>
      </w:r>
    </w:p>
    <w:p>
      <w:pPr>
        <w:pStyle w:val="Textoindependiente"/>
      </w:pPr>
      <w:r>
        <w:t xml:space="preserve">1490</w:t>
      </w:r>
    </w:p>
    <w:p>
      <w:pPr>
        <w:numPr>
          <w:ilvl w:val="0"/>
          <w:numId w:val="1022"/>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numPr>
          <w:ilvl w:val="1"/>
          <w:numId w:val="1023"/>
        </w:numPr>
        <w:pStyle w:val="Compact"/>
      </w:pPr>
      <w:r>
        <w:t xml:space="preserve">La educación en 4 grupos: Básica, media, técnica y universitaria #probar años u otra clasificación#</w:t>
      </w:r>
    </w:p>
    <w:p>
      <w:pPr>
        <w:pStyle w:val="FirstParagraph"/>
      </w:pPr>
      <w:r>
        <w:t xml:space="preserve">Nivel educacional</w:t>
      </w:r>
    </w:p>
    <w:p>
      <w:pPr>
        <w:pStyle w:val="Textoindependiente"/>
      </w:pPr>
      <w:r>
        <w:t xml:space="preserve">Clases de cohesión social</w:t>
      </w:r>
    </w:p>
    <w:p>
      <w:pPr>
        <w:pStyle w:val="Textoindependiente"/>
      </w:pPr>
      <w:r>
        <w:t xml:space="preserve">Educacion basica o menos</w:t>
      </w:r>
    </w:p>
    <w:p>
      <w:pPr>
        <w:pStyle w:val="Textoindependiente"/>
      </w:pPr>
      <w:r>
        <w:t xml:space="preserve">Educacion media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N=100%</w:t>
      </w:r>
    </w:p>
    <w:p>
      <w:pPr>
        <w:pStyle w:val="Textoindependiente"/>
      </w:pPr>
      <w:r>
        <w:t xml:space="preserve">Institucional</w:t>
      </w:r>
    </w:p>
    <w:p>
      <w:pPr>
        <w:pStyle w:val="Textoindependiente"/>
      </w:pPr>
      <w:r>
        <w:t xml:space="preserve">21.2</w:t>
      </w:r>
    </w:p>
    <w:p>
      <w:pPr>
        <w:pStyle w:val="Textoindependiente"/>
      </w:pPr>
      <w:r>
        <w:t xml:space="preserve">44.4</w:t>
      </w:r>
    </w:p>
    <w:p>
      <w:pPr>
        <w:pStyle w:val="Textoindependiente"/>
      </w:pPr>
      <w:r>
        <w:t xml:space="preserve">57.1</w:t>
      </w:r>
    </w:p>
    <w:p>
      <w:pPr>
        <w:pStyle w:val="Textoindependiente"/>
      </w:pPr>
      <w:r>
        <w:t xml:space="preserve">72.7</w:t>
      </w:r>
    </w:p>
    <w:p>
      <w:pPr>
        <w:pStyle w:val="Textoindependiente"/>
      </w:pPr>
      <w:r>
        <w:t xml:space="preserve">644</w:t>
      </w:r>
    </w:p>
    <w:p>
      <w:pPr>
        <w:pStyle w:val="Textoindependiente"/>
      </w:pPr>
      <w:r>
        <w:t xml:space="preserve">Movilizado</w:t>
      </w:r>
    </w:p>
    <w:p>
      <w:pPr>
        <w:pStyle w:val="Textoindependiente"/>
      </w:pPr>
      <w:r>
        <w:t xml:space="preserve">50.0</w:t>
      </w:r>
    </w:p>
    <w:p>
      <w:pPr>
        <w:pStyle w:val="Textoindependiente"/>
      </w:pPr>
      <w:r>
        <w:t xml:space="preserve">27.9</w:t>
      </w:r>
    </w:p>
    <w:p>
      <w:pPr>
        <w:pStyle w:val="Textoindependiente"/>
      </w:pPr>
      <w:r>
        <w:t xml:space="preserve">21.4</w:t>
      </w:r>
    </w:p>
    <w:p>
      <w:pPr>
        <w:pStyle w:val="Textoindependiente"/>
      </w:pPr>
      <w:r>
        <w:t xml:space="preserve">15.9</w:t>
      </w:r>
    </w:p>
    <w:p>
      <w:pPr>
        <w:pStyle w:val="Textoindependiente"/>
      </w:pPr>
      <w:r>
        <w:t xml:space="preserve">485</w:t>
      </w:r>
    </w:p>
    <w:p>
      <w:pPr>
        <w:pStyle w:val="Textoindependiente"/>
      </w:pPr>
      <w:r>
        <w:t xml:space="preserve">Atomizado</w:t>
      </w:r>
    </w:p>
    <w:p>
      <w:pPr>
        <w:pStyle w:val="Textoindependiente"/>
      </w:pPr>
      <w:r>
        <w:t xml:space="preserve">28.8</w:t>
      </w:r>
    </w:p>
    <w:p>
      <w:pPr>
        <w:pStyle w:val="Textoindependiente"/>
      </w:pPr>
      <w:r>
        <w:t xml:space="preserve">27.7</w:t>
      </w:r>
    </w:p>
    <w:p>
      <w:pPr>
        <w:pStyle w:val="Textoindependiente"/>
      </w:pPr>
      <w:r>
        <w:t xml:space="preserve">21.4</w:t>
      </w:r>
    </w:p>
    <w:p>
      <w:pPr>
        <w:pStyle w:val="Textoindependiente"/>
      </w:pPr>
      <w:r>
        <w:t xml:space="preserve">11.4</w:t>
      </w:r>
    </w:p>
    <w:p>
      <w:pPr>
        <w:pStyle w:val="Textoindependiente"/>
      </w:pPr>
      <w:r>
        <w:t xml:space="preserve">360</w:t>
      </w:r>
    </w:p>
    <w:p>
      <w:pPr>
        <w:pStyle w:val="Textoindependiente"/>
      </w:pPr>
      <w:r>
        <w:t xml:space="preserve">N=100%</w:t>
      </w:r>
    </w:p>
    <w:p>
      <w:pPr>
        <w:pStyle w:val="Textoindependiente"/>
      </w:pPr>
      <w:r>
        <w:t xml:space="preserve">528.0</w:t>
      </w:r>
    </w:p>
    <w:p>
      <w:pPr>
        <w:pStyle w:val="Textoindependiente"/>
      </w:pPr>
      <w:r>
        <w:t xml:space="preserve">459.0</w:t>
      </w:r>
    </w:p>
    <w:p>
      <w:pPr>
        <w:pStyle w:val="Textoindependiente"/>
      </w:pPr>
      <w:r>
        <w:t xml:space="preserve">238.0</w:t>
      </w:r>
    </w:p>
    <w:p>
      <w:pPr>
        <w:pStyle w:val="Textoindependiente"/>
      </w:pPr>
      <w:r>
        <w:t xml:space="preserve">264.0</w:t>
      </w:r>
    </w:p>
    <w:p>
      <w:pPr>
        <w:pStyle w:val="Textoindependiente"/>
      </w:pPr>
      <w:r>
        <w:t xml:space="preserve">1489</w:t>
      </w:r>
    </w:p>
    <w:p>
      <w:pPr>
        <w:numPr>
          <w:ilvl w:val="0"/>
          <w:numId w:val="1024"/>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numPr>
          <w:ilvl w:val="1"/>
          <w:numId w:val="1025"/>
        </w:numPr>
        <w:pStyle w:val="Compact"/>
      </w:pPr>
      <w:r>
        <w:t xml:space="preserve">Los niveles de ingreso están medidos en quintiles #no incluir los que no lo reportan. #</w:t>
      </w:r>
    </w:p>
    <w:p>
      <w:pPr>
        <w:pStyle w:val="FirstParagraph"/>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N=100%</w:t>
      </w:r>
    </w:p>
    <w:p>
      <w:pPr>
        <w:pStyle w:val="Textoindependiente"/>
      </w:pPr>
      <w:r>
        <w:t xml:space="preserve">Institucional</w:t>
      </w:r>
    </w:p>
    <w:p>
      <w:pPr>
        <w:pStyle w:val="Textoindependiente"/>
      </w:pPr>
      <w:r>
        <w:t xml:space="preserve">20.6</w:t>
      </w:r>
    </w:p>
    <w:p>
      <w:pPr>
        <w:pStyle w:val="Textoindependiente"/>
      </w:pPr>
      <w:r>
        <w:t xml:space="preserve">38.1</w:t>
      </w:r>
    </w:p>
    <w:p>
      <w:pPr>
        <w:pStyle w:val="Textoindependiente"/>
      </w:pPr>
      <w:r>
        <w:t xml:space="preserve">39.1</w:t>
      </w:r>
    </w:p>
    <w:p>
      <w:pPr>
        <w:pStyle w:val="Textoindependiente"/>
      </w:pPr>
      <w:r>
        <w:t xml:space="preserve">48.4</w:t>
      </w:r>
    </w:p>
    <w:p>
      <w:pPr>
        <w:pStyle w:val="Textoindependiente"/>
      </w:pPr>
      <w:r>
        <w:t xml:space="preserve">69.5</w:t>
      </w:r>
    </w:p>
    <w:p>
      <w:pPr>
        <w:pStyle w:val="Textoindependiente"/>
      </w:pPr>
      <w:r>
        <w:t xml:space="preserve">615</w:t>
      </w:r>
    </w:p>
    <w:p>
      <w:pPr>
        <w:pStyle w:val="Textoindependiente"/>
      </w:pPr>
      <w:r>
        <w:t xml:space="preserve">Movilizado</w:t>
      </w:r>
    </w:p>
    <w:p>
      <w:pPr>
        <w:pStyle w:val="Textoindependiente"/>
      </w:pPr>
      <w:r>
        <w:t xml:space="preserve">49.7</w:t>
      </w:r>
    </w:p>
    <w:p>
      <w:pPr>
        <w:pStyle w:val="Textoindependiente"/>
      </w:pPr>
      <w:r>
        <w:t xml:space="preserve">33.6</w:t>
      </w:r>
    </w:p>
    <w:p>
      <w:pPr>
        <w:pStyle w:val="Textoindependiente"/>
      </w:pPr>
      <w:r>
        <w:t xml:space="preserve">33.5</w:t>
      </w:r>
    </w:p>
    <w:p>
      <w:pPr>
        <w:pStyle w:val="Textoindependiente"/>
      </w:pPr>
      <w:r>
        <w:t xml:space="preserve">27.7</w:t>
      </w:r>
    </w:p>
    <w:p>
      <w:pPr>
        <w:pStyle w:val="Textoindependiente"/>
      </w:pPr>
      <w:r>
        <w:t xml:space="preserve">18.6</w:t>
      </w:r>
    </w:p>
    <w:p>
      <w:pPr>
        <w:pStyle w:val="Textoindependiente"/>
      </w:pPr>
      <w:r>
        <w:t xml:space="preserve">465</w:t>
      </w:r>
    </w:p>
    <w:p>
      <w:pPr>
        <w:pStyle w:val="Textoindependiente"/>
      </w:pPr>
      <w:r>
        <w:t xml:space="preserve">Atomizado</w:t>
      </w:r>
    </w:p>
    <w:p>
      <w:pPr>
        <w:pStyle w:val="Textoindependiente"/>
      </w:pPr>
      <w:r>
        <w:t xml:space="preserve">29.7</w:t>
      </w:r>
    </w:p>
    <w:p>
      <w:pPr>
        <w:pStyle w:val="Textoindependiente"/>
      </w:pPr>
      <w:r>
        <w:t xml:space="preserve">28.3</w:t>
      </w:r>
    </w:p>
    <w:p>
      <w:pPr>
        <w:pStyle w:val="Textoindependiente"/>
      </w:pPr>
      <w:r>
        <w:t xml:space="preserve">27.5</w:t>
      </w:r>
    </w:p>
    <w:p>
      <w:pPr>
        <w:pStyle w:val="Textoindependiente"/>
      </w:pPr>
      <w:r>
        <w:t xml:space="preserve">23.9</w:t>
      </w:r>
    </w:p>
    <w:p>
      <w:pPr>
        <w:pStyle w:val="Textoindependiente"/>
      </w:pPr>
      <w:r>
        <w:t xml:space="preserve">11.9</w:t>
      </w:r>
    </w:p>
    <w:p>
      <w:pPr>
        <w:pStyle w:val="Textoindependiente"/>
      </w:pPr>
      <w:r>
        <w:t xml:space="preserve">346</w:t>
      </w:r>
    </w:p>
    <w:p>
      <w:pPr>
        <w:pStyle w:val="Textoindependiente"/>
      </w:pPr>
      <w:r>
        <w:t xml:space="preserve">N=100%</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1426</w:t>
      </w:r>
    </w:p>
    <w:p>
      <w:pPr>
        <w:numPr>
          <w:ilvl w:val="0"/>
          <w:numId w:val="1026"/>
        </w:numPr>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ilvl w:val="0"/>
          <w:numId w:val="1026"/>
        </w:numPr>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numPr>
          <w:ilvl w:val="1"/>
          <w:numId w:val="1027"/>
        </w:numPr>
        <w:pStyle w:val="Compact"/>
      </w:pPr>
      <w:r>
        <w:t xml:space="preserve">Promedio años escolaridad de sostenedores en 1 km a la redonda #preferir desv estándar#</w:t>
      </w:r>
      <w:r>
        <w:t xml:space="preserve"> </w:t>
      </w:r>
      <w:r>
        <w:drawing>
          <wp:inline>
            <wp:extent cx="5600700" cy="2911510"/>
            <wp:effectExtent b="0" l="0" r="0" t="0"/>
            <wp:docPr descr="" title="" id="1" name="Picture"/>
            <a:graphic>
              <a:graphicData uri="http://schemas.openxmlformats.org/drawingml/2006/picture">
                <pic:pic>
                  <pic:nvPicPr>
                    <pic:cNvPr descr="output/graphs/clase-sdeduc.png" id="0" name="Picture"/>
                    <pic:cNvPicPr>
                      <a:picLocks noChangeArrowheads="1" noChangeAspect="1"/>
                    </pic:cNvPicPr>
                  </pic:nvPicPr>
                  <pic:blipFill>
                    <a:blip r:embed="rId93"/>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Número de trabajadores/as (ocupados??) en 1 km a la redonda #usar también inactivos#</w:t>
      </w:r>
      <w:r>
        <w:t xml:space="preserve"> </w:t>
      </w:r>
      <w:r>
        <w:drawing>
          <wp:inline>
            <wp:extent cx="5600700" cy="2911510"/>
            <wp:effectExtent b="0" l="0" r="0" t="0"/>
            <wp:docPr descr="" title="" id="1" name="Picture"/>
            <a:graphic>
              <a:graphicData uri="http://schemas.openxmlformats.org/drawingml/2006/picture">
                <pic:pic>
                  <pic:nvPicPr>
                    <pic:cNvPr descr="output/graphs/clase-trab.png" id="0" name="Picture"/>
                    <pic:cNvPicPr>
                      <a:picLocks noChangeArrowheads="1" noChangeAspect="1"/>
                    </pic:cNvPicPr>
                  </pic:nvPicPr>
                  <pic:blipFill>
                    <a:blip r:embed="rId94"/>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Número de cesantes en 1 km a la redonda</w:t>
      </w:r>
      <w:r>
        <w:t xml:space="preserve"> </w:t>
      </w:r>
      <w:r>
        <w:drawing>
          <wp:inline>
            <wp:extent cx="5600700" cy="2911510"/>
            <wp:effectExtent b="0" l="0" r="0" t="0"/>
            <wp:docPr descr="" title="" id="1" name="Picture"/>
            <a:graphic>
              <a:graphicData uri="http://schemas.openxmlformats.org/drawingml/2006/picture">
                <pic:pic>
                  <pic:nvPicPr>
                    <pic:cNvPr descr="output/graphs/clase-cesantes.png" id="0" name="Picture"/>
                    <pic:cNvPicPr>
                      <a:picLocks noChangeArrowheads="1" noChangeAspect="1"/>
                    </pic:cNvPicPr>
                  </pic:nvPicPr>
                  <pic:blipFill>
                    <a:blip r:embed="rId95"/>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Acceso areas verdes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ver.png" id="0" name="Picture"/>
                    <pic:cNvPicPr>
                      <a:picLocks noChangeArrowheads="1" noChangeAspect="1"/>
                    </pic:cNvPicPr>
                  </pic:nvPicPr>
                  <pic:blipFill>
                    <a:blip r:embed="rId96"/>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Acceso a colegios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ed.png" id="0" name="Picture"/>
                    <pic:cNvPicPr>
                      <a:picLocks noChangeArrowheads="1" noChangeAspect="1"/>
                    </pic:cNvPicPr>
                  </pic:nvPicPr>
                  <pic:blipFill>
                    <a:blip r:embed="rId97"/>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Acceso a servicios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cs.png" id="0" name="Picture"/>
                    <pic:cNvPicPr>
                      <a:picLocks noChangeArrowheads="1" noChangeAspect="1"/>
                    </pic:cNvPicPr>
                  </pic:nvPicPr>
                  <pic:blipFill>
                    <a:blip r:embed="rId98"/>
                    <a:stretch>
                      <a:fillRect/>
                    </a:stretch>
                  </pic:blipFill>
                  <pic:spPr bwMode="auto">
                    <a:xfrm>
                      <a:off x="0" y="0"/>
                      <a:ext cx="5600700" cy="2911510"/>
                    </a:xfrm>
                    <a:prstGeom prst="rect">
                      <a:avLst/>
                    </a:prstGeom>
                    <a:noFill/>
                    <a:ln w="9525">
                      <a:noFill/>
                      <a:headEnd/>
                      <a:tailEnd/>
                    </a:ln>
                  </pic:spPr>
                </pic:pic>
              </a:graphicData>
            </a:graphic>
          </wp:inline>
        </w:drawing>
      </w:r>
    </w:p>
    <w:p>
      <w:pPr>
        <w:numPr>
          <w:ilvl w:val="0"/>
          <w:numId w:val="1026"/>
        </w:numPr>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FirstParagraph"/>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N=100%</w:t>
      </w:r>
    </w:p>
    <w:p>
      <w:pPr>
        <w:pStyle w:val="Textoindependiente"/>
      </w:pPr>
      <w:r>
        <w:t xml:space="preserve">Institucional</w:t>
      </w:r>
    </w:p>
    <w:p>
      <w:pPr>
        <w:pStyle w:val="Textoindependiente"/>
      </w:pPr>
      <w:r>
        <w:t xml:space="preserve">42.3</w:t>
      </w:r>
    </w:p>
    <w:p>
      <w:pPr>
        <w:pStyle w:val="Textoindependiente"/>
      </w:pPr>
      <w:r>
        <w:t xml:space="preserve">50.0</w:t>
      </w:r>
    </w:p>
    <w:p>
      <w:pPr>
        <w:pStyle w:val="Textoindependiente"/>
      </w:pPr>
      <w:r>
        <w:t xml:space="preserve">636</w:t>
      </w:r>
    </w:p>
    <w:p>
      <w:pPr>
        <w:pStyle w:val="Textoindependiente"/>
      </w:pPr>
      <w:r>
        <w:t xml:space="preserve">Movilizado</w:t>
      </w:r>
    </w:p>
    <w:p>
      <w:pPr>
        <w:pStyle w:val="Textoindependiente"/>
      </w:pPr>
      <w:r>
        <w:t xml:space="preserve">33.5</w:t>
      </w:r>
    </w:p>
    <w:p>
      <w:pPr>
        <w:pStyle w:val="Textoindependiente"/>
      </w:pPr>
      <w:r>
        <w:t xml:space="preserve">26.7</w:t>
      </w:r>
    </w:p>
    <w:p>
      <w:pPr>
        <w:pStyle w:val="Textoindependiente"/>
      </w:pPr>
      <w:r>
        <w:t xml:space="preserve">481</w:t>
      </w:r>
    </w:p>
    <w:p>
      <w:pPr>
        <w:pStyle w:val="Textoindependiente"/>
      </w:pPr>
      <w:r>
        <w:t xml:space="preserve">Atomizado</w:t>
      </w:r>
    </w:p>
    <w:p>
      <w:pPr>
        <w:pStyle w:val="Textoindependiente"/>
      </w:pPr>
      <w:r>
        <w:t xml:space="preserve">24.2</w:t>
      </w:r>
    </w:p>
    <w:p>
      <w:pPr>
        <w:pStyle w:val="Textoindependiente"/>
      </w:pPr>
      <w:r>
        <w:t xml:space="preserve">23.3</w:t>
      </w:r>
    </w:p>
    <w:p>
      <w:pPr>
        <w:pStyle w:val="Textoindependiente"/>
      </w:pPr>
      <w:r>
        <w:t xml:space="preserve">355</w:t>
      </w:r>
    </w:p>
    <w:p>
      <w:pPr>
        <w:pStyle w:val="Textoindependiente"/>
      </w:pPr>
      <w:r>
        <w:t xml:space="preserve">N=100%</w:t>
      </w:r>
    </w:p>
    <w:p>
      <w:pPr>
        <w:pStyle w:val="Textoindependiente"/>
      </w:pPr>
      <w:r>
        <w:t xml:space="preserve">1300.0</w:t>
      </w:r>
    </w:p>
    <w:p>
      <w:pPr>
        <w:pStyle w:val="Textoindependiente"/>
      </w:pPr>
      <w:r>
        <w:t xml:space="preserve">172.0</w:t>
      </w:r>
    </w:p>
    <w:p>
      <w:pPr>
        <w:pStyle w:val="Textoindependiente"/>
      </w:pPr>
      <w:r>
        <w:t xml:space="preserve">1472</w:t>
      </w:r>
    </w:p>
    <w:p>
      <w:pPr>
        <w:numPr>
          <w:ilvl w:val="0"/>
          <w:numId w:val="1028"/>
        </w:numPr>
        <w:pStyle w:val="Compact"/>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FirstParagraph"/>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N=100%</w:t>
      </w:r>
    </w:p>
    <w:p>
      <w:pPr>
        <w:pStyle w:val="Textoindependiente"/>
      </w:pPr>
      <w:r>
        <w:t xml:space="preserve">Institucional</w:t>
      </w:r>
    </w:p>
    <w:p>
      <w:pPr>
        <w:pStyle w:val="Textoindependiente"/>
      </w:pPr>
      <w:r>
        <w:t xml:space="preserve">43.4</w:t>
      </w:r>
    </w:p>
    <w:p>
      <w:pPr>
        <w:pStyle w:val="Textoindependiente"/>
      </w:pPr>
      <w:r>
        <w:t xml:space="preserve">33.3</w:t>
      </w:r>
    </w:p>
    <w:p>
      <w:pPr>
        <w:pStyle w:val="Textoindependiente"/>
      </w:pPr>
      <w:r>
        <w:t xml:space="preserve">644</w:t>
      </w:r>
    </w:p>
    <w:p>
      <w:pPr>
        <w:pStyle w:val="Textoindependiente"/>
      </w:pPr>
      <w:r>
        <w:t xml:space="preserve">Movilizado</w:t>
      </w:r>
    </w:p>
    <w:p>
      <w:pPr>
        <w:pStyle w:val="Textoindependiente"/>
      </w:pPr>
      <w:r>
        <w:t xml:space="preserve">32.6</w:t>
      </w:r>
    </w:p>
    <w:p>
      <w:pPr>
        <w:pStyle w:val="Textoindependiente"/>
      </w:pPr>
      <w:r>
        <w:t xml:space="preserve">29.6</w:t>
      </w:r>
    </w:p>
    <w:p>
      <w:pPr>
        <w:pStyle w:val="Textoindependiente"/>
      </w:pPr>
      <w:r>
        <w:t xml:space="preserve">485</w:t>
      </w:r>
    </w:p>
    <w:p>
      <w:pPr>
        <w:pStyle w:val="Textoindependiente"/>
      </w:pPr>
      <w:r>
        <w:t xml:space="preserve">Atomizado</w:t>
      </w:r>
    </w:p>
    <w:p>
      <w:pPr>
        <w:pStyle w:val="Textoindependiente"/>
      </w:pPr>
      <w:r>
        <w:t xml:space="preserve">24.0</w:t>
      </w:r>
    </w:p>
    <w:p>
      <w:pPr>
        <w:pStyle w:val="Textoindependiente"/>
      </w:pPr>
      <w:r>
        <w:t xml:space="preserve">37.0</w:t>
      </w:r>
    </w:p>
    <w:p>
      <w:pPr>
        <w:pStyle w:val="Textoindependiente"/>
      </w:pPr>
      <w:r>
        <w:t xml:space="preserve">361</w:t>
      </w:r>
    </w:p>
    <w:p>
      <w:pPr>
        <w:pStyle w:val="Textoindependiente"/>
      </w:pPr>
      <w:r>
        <w:t xml:space="preserve">N=100%</w:t>
      </w:r>
    </w:p>
    <w:p>
      <w:pPr>
        <w:pStyle w:val="Textoindependiente"/>
      </w:pPr>
      <w:r>
        <w:t xml:space="preserve">1463.0</w:t>
      </w:r>
    </w:p>
    <w:p>
      <w:pPr>
        <w:pStyle w:val="Textoindependiente"/>
      </w:pPr>
      <w:r>
        <w:t xml:space="preserve">27.0</w:t>
      </w:r>
    </w:p>
    <w:p>
      <w:pPr>
        <w:pStyle w:val="Textoindependiente"/>
      </w:pPr>
      <w:r>
        <w:t xml:space="preserve">1490</w:t>
      </w:r>
    </w:p>
    <w:bookmarkEnd w:id="99"/>
    <w:bookmarkEnd w:id="100"/>
    <w:bookmarkEnd w:id="101"/>
    <w:bookmarkEnd w:id="102"/>
    <w:bookmarkStart w:id="121" w:name="bibliografía"/>
    <w:p>
      <w:pPr>
        <w:pStyle w:val="Ttulo1"/>
      </w:pPr>
      <w:r>
        <w:t xml:space="preserve">Bibliografía</w:t>
      </w:r>
    </w:p>
    <w:bookmarkStart w:id="120" w:name="refs"/>
    <w:bookmarkStart w:id="103" w:name="ref-barozet_clases_2021"/>
    <w:p>
      <w:pPr>
        <w:pStyle w:val="Bibliografa"/>
      </w:pPr>
      <w:r>
        <w:t xml:space="preserve">Barozet, E., Contreras, D., Espinoza, V., Gayo, M., y Méndez, M. L. (2021).</w:t>
      </w:r>
      <w:r>
        <w:t xml:space="preserve"> </w:t>
      </w:r>
      <w:r>
        <w:rPr>
          <w:iCs/>
          <w:i/>
        </w:rPr>
        <w:t xml:space="preserve">Clases medias en tiempos de crisis: vulnerabilidad persistente, desafíos para la cohesión y un nuevo pacto social en Chile</w:t>
      </w:r>
      <w:r>
        <w:t xml:space="preserve">.</w:t>
      </w:r>
      <w:r>
        <w:t xml:space="preserve"> </w:t>
      </w:r>
      <w:r>
        <w:t xml:space="preserve">Santiago de Chile</w:t>
      </w:r>
      <w:r>
        <w:t xml:space="preserve">:</w:t>
      </w:r>
      <w:r>
        <w:t xml:space="preserve"> </w:t>
      </w:r>
      <w:r>
        <w:t xml:space="preserve">CEPAL</w:t>
      </w:r>
      <w:r>
        <w:t xml:space="preserve">.</w:t>
      </w:r>
    </w:p>
    <w:bookmarkEnd w:id="103"/>
    <w:bookmarkStart w:id="104" w:name="ref-cepal_america_2010"/>
    <w:p>
      <w:pPr>
        <w:pStyle w:val="Bibliografa"/>
      </w:pPr>
      <w:r>
        <w:t xml:space="preserve">CEPAL. (2010a).</w:t>
      </w:r>
      <w:r>
        <w:t xml:space="preserve"> </w:t>
      </w:r>
      <w:r>
        <w:rPr>
          <w:iCs/>
          <w:i/>
        </w:rPr>
        <w:t xml:space="preserve">América</w:t>
      </w:r>
      <w:r>
        <w:rPr>
          <w:iCs/>
          <w:i/>
        </w:rPr>
        <w:t xml:space="preserve"> </w:t>
      </w:r>
      <w:r>
        <w:rPr>
          <w:iCs/>
          <w:i/>
        </w:rPr>
        <w:t xml:space="preserve">Latina</w:t>
      </w:r>
      <w:r>
        <w:rPr>
          <w:iCs/>
          <w:i/>
        </w:rPr>
        <w:t xml:space="preserve"> </w:t>
      </w:r>
      <w:r>
        <w:rPr>
          <w:iCs/>
          <w:i/>
        </w:rPr>
        <w:t xml:space="preserve">En Clave de Cohesión Social.</w:t>
      </w:r>
      <w:r>
        <w:rPr>
          <w:iCs/>
          <w:i/>
        </w:rPr>
        <w:t xml:space="preserve"> </w:t>
      </w:r>
      <w:r>
        <w:rPr>
          <w:iCs/>
          <w:i/>
        </w:rPr>
        <w:t xml:space="preserve">Indicadores</w:t>
      </w:r>
      <w:r>
        <w:rPr>
          <w:iCs/>
          <w:i/>
        </w:rPr>
        <w:t xml:space="preserve"> </w:t>
      </w:r>
      <w:r>
        <w:rPr>
          <w:iCs/>
          <w:i/>
        </w:rPr>
        <w:t xml:space="preserve">Seleccionados</w:t>
      </w:r>
      <w:r>
        <w:t xml:space="preserve">.</w:t>
      </w:r>
      <w:r>
        <w:t xml:space="preserve"> </w:t>
      </w:r>
      <w:r>
        <w:t xml:space="preserve">Santiago de Chile</w:t>
      </w:r>
      <w:r>
        <w:t xml:space="preserve">:</w:t>
      </w:r>
      <w:r>
        <w:t xml:space="preserve"> </w:t>
      </w:r>
      <w:r>
        <w:t xml:space="preserve">CEPAL</w:t>
      </w:r>
      <w:r>
        <w:t xml:space="preserve">.</w:t>
      </w:r>
    </w:p>
    <w:bookmarkEnd w:id="104"/>
    <w:bookmarkStart w:id="105" w:name="ref-cepal_cohesion_2010"/>
    <w:p>
      <w:pPr>
        <w:pStyle w:val="Bibliografa"/>
      </w:pPr>
      <w:r>
        <w:t xml:space="preserve">CEPAL. (2010b).</w:t>
      </w:r>
      <w:r>
        <w:t xml:space="preserve"> </w:t>
      </w:r>
      <w:r>
        <w:rPr>
          <w:iCs/>
          <w:i/>
        </w:rPr>
        <w:t xml:space="preserve">Cohesión Social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Revisión de Conceptos, Marcos de Referencia e Indicadores</w:t>
      </w:r>
      <w:r>
        <w:t xml:space="preserve">.</w:t>
      </w:r>
      <w:r>
        <w:t xml:space="preserve"> </w:t>
      </w:r>
      <w:r>
        <w:t xml:space="preserve">Santiago de Chile</w:t>
      </w:r>
      <w:r>
        <w:t xml:space="preserve">:</w:t>
      </w:r>
      <w:r>
        <w:t xml:space="preserve"> </w:t>
      </w:r>
      <w:r>
        <w:t xml:space="preserve">CEPAL</w:t>
      </w:r>
      <w:r>
        <w:t xml:space="preserve">.</w:t>
      </w:r>
    </w:p>
    <w:bookmarkEnd w:id="105"/>
    <w:bookmarkStart w:id="106"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6"/>
    <w:bookmarkStart w:id="107"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7"/>
    <w:bookmarkStart w:id="108" w:name="ref-dragolov_social_2013"/>
    <w:p>
      <w:pPr>
        <w:pStyle w:val="Bibliografa"/>
      </w:pPr>
      <w:r>
        <w:t xml:space="preserve">Dragolov, G., Ignácz, Z., Lorenz, J., Delhey, J., y Boehnke, K. (2013).</w:t>
      </w:r>
      <w:r>
        <w:t xml:space="preserve"> </w:t>
      </w:r>
      <w:r>
        <w:rPr>
          <w:iCs/>
          <w:i/>
        </w:rPr>
        <w:t xml:space="preserve">Social Cohesion Radar Measuring Common Ground: An International Comparison of Social Cohesion Methods Report</w:t>
      </w:r>
      <w:r>
        <w:t xml:space="preserve">.</w:t>
      </w:r>
    </w:p>
    <w:bookmarkEnd w:id="108"/>
    <w:bookmarkStart w:id="109" w:name="ref-jenson_mapping_1998"/>
    <w:p>
      <w:pPr>
        <w:pStyle w:val="Bibliografa"/>
      </w:pPr>
      <w:r>
        <w:t xml:space="preserve">Jenson, J. (1998).</w:t>
      </w:r>
      <w:r>
        <w:t xml:space="preserve"> </w:t>
      </w:r>
      <w:r>
        <w:rPr>
          <w:iCs/>
          <w:i/>
        </w:rPr>
        <w:t xml:space="preserve">Mapping Social Cohesion: The State of</w:t>
      </w:r>
      <w:r>
        <w:rPr>
          <w:iCs/>
          <w:i/>
        </w:rPr>
        <w:t xml:space="preserve"> </w:t>
      </w:r>
      <w:r>
        <w:rPr>
          <w:iCs/>
          <w:i/>
        </w:rPr>
        <w:t xml:space="preserve">Canadian</w:t>
      </w:r>
      <w:r>
        <w:rPr>
          <w:iCs/>
          <w:i/>
        </w:rPr>
        <w:t xml:space="preserve"> </w:t>
      </w:r>
      <w:r>
        <w:rPr>
          <w:iCs/>
          <w:i/>
        </w:rPr>
        <w:t xml:space="preserve">Research</w:t>
      </w:r>
      <w:r>
        <w:t xml:space="preserve">.</w:t>
      </w:r>
    </w:p>
    <w:bookmarkEnd w:id="109"/>
    <w:bookmarkStart w:id="110" w:name="ref-maldonado_inclusion_2020"/>
    <w:p>
      <w:pPr>
        <w:pStyle w:val="Bibliografa"/>
      </w:pPr>
      <w:r>
        <w:t xml:space="preserve">Maldonado, C., Marinho, M. L., Robles, C., y Desarrollo, A. E. de C. I. para el. (2020).</w:t>
      </w:r>
      <w:r>
        <w:t xml:space="preserve"> </w:t>
      </w:r>
      <w:r>
        <w:rPr>
          <w:iCs/>
          <w:i/>
        </w:rPr>
        <w:t xml:space="preserve">Inclusión y cohesión social en el marco de la Agenda 2030 para el Desarrollo Sostenible: claves para un desarrollo social inclusivo en América Latina</w:t>
      </w:r>
      <w:r>
        <w:t xml:space="preserve">.</w:t>
      </w:r>
      <w:r>
        <w:t xml:space="preserve"> </w:t>
      </w:r>
      <w:r>
        <w:t xml:space="preserve">Santiago de Chile</w:t>
      </w:r>
      <w:r>
        <w:t xml:space="preserve">:</w:t>
      </w:r>
      <w:r>
        <w:t xml:space="preserve"> </w:t>
      </w:r>
      <w:r>
        <w:t xml:space="preserve">CEPAL</w:t>
      </w:r>
      <w:r>
        <w:t xml:space="preserve">.</w:t>
      </w:r>
    </w:p>
    <w:bookmarkEnd w:id="110"/>
    <w:bookmarkStart w:id="111" w:name="ref-markus_mapping_2014"/>
    <w:p>
      <w:pPr>
        <w:pStyle w:val="Bibliografa"/>
      </w:pPr>
      <w:r>
        <w:t xml:space="preserve">Markus, A. (2014).</w:t>
      </w:r>
      <w:r>
        <w:t xml:space="preserve"> </w:t>
      </w:r>
      <w:r>
        <w:rPr>
          <w:iCs/>
          <w:i/>
        </w:rPr>
        <w:t xml:space="preserve">Mapping Social Cohesion</w:t>
      </w:r>
      <w:r>
        <w:t xml:space="preserve">.</w:t>
      </w:r>
    </w:p>
    <w:bookmarkEnd w:id="111"/>
    <w:bookmarkStart w:id="113"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12">
        <w:r>
          <w:rPr>
            <w:rStyle w:val="Hipervnculo"/>
          </w:rPr>
          <w:t xml:space="preserve">https://doi.org/10.1371/journal.pone.0008694</w:t>
        </w:r>
      </w:hyperlink>
    </w:p>
    <w:bookmarkEnd w:id="113"/>
    <w:bookmarkStart w:id="115"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 A</w:t>
      </w:r>
      <w:r>
        <w:t xml:space="preserve"> </w:t>
      </w:r>
      <w:r>
        <w:t xml:space="preserve">Literature Review</w:t>
      </w:r>
      <w:r>
        <w:t xml:space="preserve">.</w:t>
      </w:r>
      <w:r>
        <w:t xml:space="preserve"> </w:t>
      </w:r>
      <w:r>
        <w:rPr>
          <w:iCs/>
          <w:i/>
        </w:rPr>
        <w:t xml:space="preserve">Social Indicators Research</w:t>
      </w:r>
      <w:r>
        <w:t xml:space="preserve">, 1-25.</w:t>
      </w:r>
      <w:r>
        <w:t xml:space="preserve"> </w:t>
      </w:r>
      <w:hyperlink r:id="rId114">
        <w:r>
          <w:rPr>
            <w:rStyle w:val="Hipervnculo"/>
          </w:rPr>
          <w:t xml:space="preserve">https://doi.org/10.1007/s11205-016-1314-5</w:t>
        </w:r>
      </w:hyperlink>
    </w:p>
    <w:bookmarkEnd w:id="115"/>
    <w:bookmarkStart w:id="116" w:name="ref-sojo_cohesion_2007"/>
    <w:p>
      <w:pPr>
        <w:pStyle w:val="Bibliografa"/>
      </w:pPr>
      <w:r>
        <w:t xml:space="preserve">Sojo, A., Uthoff, A., y CEPAL, N. (2007).</w:t>
      </w:r>
      <w:r>
        <w:t xml:space="preserve"> </w:t>
      </w:r>
      <w:r>
        <w:t xml:space="preserve">Cohesión social en América Latina y el Caribe: una revisión perentoria de algunas de sus dimensiones</w:t>
      </w:r>
      <w:r>
        <w:t xml:space="preserve">.</w:t>
      </w:r>
      <w:r>
        <w:t xml:space="preserve"> </w:t>
      </w:r>
      <w:r>
        <w:rPr>
          <w:iCs/>
          <w:i/>
        </w:rPr>
        <w:t xml:space="preserve">CEPAL</w:t>
      </w:r>
      <w:r>
        <w:t xml:space="preserve">.</w:t>
      </w:r>
    </w:p>
    <w:bookmarkEnd w:id="116"/>
    <w:bookmarkStart w:id="117" w:name="ref-tironibarrios_redes_2008"/>
    <w:p>
      <w:pPr>
        <w:pStyle w:val="Bibliografa"/>
      </w:pPr>
      <w:r>
        <w:t xml:space="preserve">Tironi Barrios, E., y Foxley Ríoseco, A. (Eds.). (2008).</w:t>
      </w:r>
      <w:r>
        <w:t xml:space="preserve"> </w:t>
      </w:r>
      <w:r>
        <w:rPr>
          <w:iCs/>
          <w:i/>
        </w:rPr>
        <w:t xml:space="preserve">Redes, Estado y mercados: soportes de la cohesión social latinoamericana</w:t>
      </w:r>
      <w:r>
        <w:t xml:space="preserve">.</w:t>
      </w:r>
      <w:r>
        <w:t xml:space="preserve"> </w:t>
      </w:r>
      <w:r>
        <w:t xml:space="preserve">Santiago de Chile</w:t>
      </w:r>
      <w:r>
        <w:t xml:space="preserve">:</w:t>
      </w:r>
      <w:r>
        <w:t xml:space="preserve"> </w:t>
      </w:r>
      <w:r>
        <w:t xml:space="preserve">Uqbar Editores</w:t>
      </w:r>
      <w:r>
        <w:t xml:space="preserve">.</w:t>
      </w:r>
    </w:p>
    <w:bookmarkEnd w:id="117"/>
    <w:bookmarkStart w:id="118"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18"/>
    <w:bookmarkStart w:id="119" w:name="ref-villatoros._sistema_2008"/>
    <w:p>
      <w:pPr>
        <w:pStyle w:val="Bibliografa"/>
      </w:pPr>
      <w:r>
        <w:t xml:space="preserve">Villatoro S., P. (2008).</w:t>
      </w:r>
      <w:r>
        <w:t xml:space="preserve"> </w:t>
      </w:r>
      <w:r>
        <w:t xml:space="preserve">Un sistema de indicadores para el seguimiento de la cohesión social en América Latina. Síntesis</w:t>
      </w:r>
      <w:r>
        <w:t xml:space="preserve">.</w:t>
      </w:r>
      <w:r>
        <w:t xml:space="preserve"> </w:t>
      </w:r>
      <w:r>
        <w:rPr>
          <w:iCs/>
          <w:i/>
        </w:rPr>
        <w:t xml:space="preserve">CEPAL</w:t>
      </w:r>
      <w:r>
        <w:t xml:space="preserve">.</w:t>
      </w:r>
    </w:p>
    <w:bookmarkEnd w:id="119"/>
    <w:bookmarkEnd w:id="120"/>
    <w:bookmarkEnd w:id="121"/>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89" Target="media/rId89.jp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4" Target="https://doi.org/10.1007/s11205-016-1314-5" TargetMode="External" /><Relationship Type="http://schemas.openxmlformats.org/officeDocument/2006/relationships/hyperlink" Id="rId112"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14" Target="https://doi.org/10.1007/s11205-016-1314-5" TargetMode="External" /><Relationship Type="http://schemas.openxmlformats.org/officeDocument/2006/relationships/hyperlink" Id="rId112"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2021-10-14T20:33:46Z</dcterms:created>
  <dcterms:modified xsi:type="dcterms:W3CDTF">2021-10-14T20:33:46Z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2021-10-14</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